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AC9" w:rsidRDefault="008D2AC9" w:rsidP="002316B8">
      <w:pPr>
        <w:rPr>
          <w:b/>
          <w:sz w:val="28"/>
          <w:szCs w:val="28"/>
          <w:u w:val="single"/>
        </w:rPr>
      </w:pPr>
      <w:proofErr w:type="spellStart"/>
      <w:r>
        <w:rPr>
          <w:b/>
          <w:sz w:val="28"/>
          <w:szCs w:val="28"/>
          <w:u w:val="single"/>
        </w:rPr>
        <w:t>Orritor</w:t>
      </w:r>
      <w:proofErr w:type="spellEnd"/>
      <w:r>
        <w:rPr>
          <w:b/>
          <w:sz w:val="28"/>
          <w:szCs w:val="28"/>
          <w:u w:val="single"/>
        </w:rPr>
        <w:t xml:space="preserve"> </w:t>
      </w:r>
      <w:r w:rsidR="002316B8">
        <w:rPr>
          <w:b/>
          <w:sz w:val="28"/>
          <w:szCs w:val="28"/>
          <w:u w:val="single"/>
        </w:rPr>
        <w:t>Nursery Unit</w:t>
      </w:r>
      <w:r>
        <w:rPr>
          <w:b/>
          <w:sz w:val="28"/>
          <w:szCs w:val="28"/>
          <w:u w:val="single"/>
        </w:rPr>
        <w:t xml:space="preserve"> Re-start arrangements for September 2020</w:t>
      </w:r>
    </w:p>
    <w:p w:rsidR="008D2AC9" w:rsidRDefault="008D2AC9" w:rsidP="008D2AC9"/>
    <w:p w:rsidR="008D2AC9" w:rsidRDefault="008D2AC9" w:rsidP="008D2AC9"/>
    <w:p w:rsidR="008D2AC9" w:rsidRDefault="008D2AC9" w:rsidP="008D2AC9">
      <w:pPr>
        <w:rPr>
          <w:sz w:val="24"/>
          <w:szCs w:val="24"/>
        </w:rPr>
      </w:pPr>
      <w:r>
        <w:rPr>
          <w:sz w:val="24"/>
          <w:szCs w:val="24"/>
        </w:rPr>
        <w:t>Having taken cognisance of the Minister’s comments and DE guidance issued late on Friday19th June, the pattern of attendance which can best meet all pupils equally will be as outlined below and in the accompanying tables:</w:t>
      </w:r>
    </w:p>
    <w:p w:rsidR="008D2AC9" w:rsidRDefault="008D2AC9" w:rsidP="008D2AC9">
      <w:pPr>
        <w:rPr>
          <w:i/>
          <w:sz w:val="24"/>
          <w:szCs w:val="24"/>
        </w:rPr>
      </w:pPr>
      <w:r>
        <w:rPr>
          <w:i/>
          <w:sz w:val="24"/>
          <w:szCs w:val="24"/>
        </w:rPr>
        <w:t>Please note that this has been drawn up under the DE Guidance of 19</w:t>
      </w:r>
      <w:r>
        <w:rPr>
          <w:i/>
          <w:sz w:val="24"/>
          <w:szCs w:val="24"/>
          <w:vertAlign w:val="superscript"/>
        </w:rPr>
        <w:t>th</w:t>
      </w:r>
      <w:r>
        <w:rPr>
          <w:i/>
          <w:sz w:val="24"/>
          <w:szCs w:val="24"/>
        </w:rPr>
        <w:t xml:space="preserve"> June and with the children’s education and development in mind and what the school is physically able to provide given the present COVID19 restrictions and the 1m social distancing. Unfortunately it may not necessarily solve families’ childcare arrangements but may help in your planning.</w:t>
      </w:r>
    </w:p>
    <w:p w:rsidR="008D2AC9" w:rsidRDefault="008D2AC9" w:rsidP="008D2AC9">
      <w:pPr>
        <w:rPr>
          <w:sz w:val="24"/>
          <w:szCs w:val="24"/>
        </w:rPr>
      </w:pPr>
    </w:p>
    <w:p w:rsidR="008D2AC9" w:rsidRDefault="008D2AC9" w:rsidP="008D2AC9">
      <w:pPr>
        <w:rPr>
          <w:sz w:val="24"/>
          <w:szCs w:val="24"/>
        </w:rPr>
      </w:pPr>
    </w:p>
    <w:p w:rsidR="008D2AC9" w:rsidRDefault="008D2AC9" w:rsidP="008D2AC9">
      <w:pPr>
        <w:rPr>
          <w:b/>
          <w:sz w:val="24"/>
          <w:szCs w:val="24"/>
        </w:rPr>
      </w:pPr>
      <w:r>
        <w:rPr>
          <w:b/>
          <w:sz w:val="24"/>
          <w:szCs w:val="24"/>
        </w:rPr>
        <w:t>CLASS ORGANISATION</w:t>
      </w:r>
    </w:p>
    <w:p w:rsidR="008D2AC9" w:rsidRDefault="008D2AC9" w:rsidP="008D2AC9">
      <w:pPr>
        <w:rPr>
          <w:sz w:val="24"/>
          <w:szCs w:val="24"/>
        </w:rPr>
      </w:pPr>
    </w:p>
    <w:p w:rsidR="008D2AC9" w:rsidRDefault="008D2AC9" w:rsidP="008D2AC9">
      <w:pPr>
        <w:rPr>
          <w:sz w:val="24"/>
          <w:szCs w:val="24"/>
        </w:rPr>
      </w:pPr>
      <w:r>
        <w:rPr>
          <w:sz w:val="24"/>
          <w:szCs w:val="24"/>
        </w:rPr>
        <w:t>The Nursery class</w:t>
      </w:r>
      <w:r w:rsidR="00D876B1">
        <w:rPr>
          <w:sz w:val="24"/>
          <w:szCs w:val="24"/>
        </w:rPr>
        <w:t xml:space="preserve"> will have to according to Date of Birth</w:t>
      </w:r>
      <w:r w:rsidRPr="008D2AC9">
        <w:rPr>
          <w:color w:val="FF0000"/>
          <w:sz w:val="24"/>
          <w:szCs w:val="24"/>
        </w:rPr>
        <w:t xml:space="preserve"> </w:t>
      </w:r>
      <w:r>
        <w:rPr>
          <w:sz w:val="24"/>
          <w:szCs w:val="24"/>
        </w:rPr>
        <w:t>into TWO manageable groups – A and B.</w:t>
      </w:r>
      <w:r w:rsidR="00D876B1">
        <w:rPr>
          <w:sz w:val="24"/>
          <w:szCs w:val="24"/>
        </w:rPr>
        <w:t xml:space="preserve"> </w:t>
      </w:r>
      <w:r w:rsidR="00B66C89">
        <w:rPr>
          <w:sz w:val="24"/>
          <w:szCs w:val="24"/>
        </w:rPr>
        <w:t>These will have been sent with the Induction information.</w:t>
      </w:r>
      <w:bookmarkStart w:id="0" w:name="_GoBack"/>
      <w:bookmarkEnd w:id="0"/>
    </w:p>
    <w:p w:rsidR="008D2AC9" w:rsidRDefault="008D2AC9" w:rsidP="008D2AC9">
      <w:pPr>
        <w:rPr>
          <w:sz w:val="24"/>
          <w:szCs w:val="24"/>
        </w:rPr>
      </w:pPr>
    </w:p>
    <w:p w:rsidR="008D2AC9" w:rsidRDefault="008D2AC9" w:rsidP="008D2AC9">
      <w:pPr>
        <w:rPr>
          <w:sz w:val="24"/>
          <w:szCs w:val="24"/>
        </w:rPr>
      </w:pPr>
      <w:r>
        <w:rPr>
          <w:sz w:val="24"/>
          <w:szCs w:val="24"/>
        </w:rPr>
        <w:t>The class will fall into a 2 week cycle of attendance, which will be reviewed regularly. Out of a possible 10 school days each pupil will be in attendance for 5.</w:t>
      </w:r>
    </w:p>
    <w:p w:rsidR="008D2AC9" w:rsidRDefault="003E1D08" w:rsidP="00C66559">
      <w:pPr>
        <w:jc w:val="center"/>
        <w:rPr>
          <w:sz w:val="24"/>
          <w:szCs w:val="24"/>
        </w:rPr>
      </w:pPr>
      <w:r>
        <w:rPr>
          <w:sz w:val="24"/>
          <w:szCs w:val="24"/>
        </w:rPr>
        <w:t>(</w:t>
      </w:r>
      <w:proofErr w:type="gramStart"/>
      <w:r w:rsidR="00C66559">
        <w:rPr>
          <w:sz w:val="24"/>
          <w:szCs w:val="24"/>
        </w:rPr>
        <w:t>see  accompanying</w:t>
      </w:r>
      <w:proofErr w:type="gramEnd"/>
      <w:r w:rsidR="00C66559">
        <w:rPr>
          <w:sz w:val="24"/>
          <w:szCs w:val="24"/>
        </w:rPr>
        <w:t xml:space="preserve"> attendance pattern)</w:t>
      </w:r>
    </w:p>
    <w:p w:rsidR="008D2AC9" w:rsidRDefault="008D2AC9" w:rsidP="008D2AC9">
      <w:pPr>
        <w:rPr>
          <w:sz w:val="24"/>
          <w:szCs w:val="24"/>
        </w:rPr>
      </w:pPr>
    </w:p>
    <w:p w:rsidR="008D2AC9" w:rsidRDefault="008D2AC9" w:rsidP="008D2AC9">
      <w:pPr>
        <w:rPr>
          <w:b/>
          <w:sz w:val="24"/>
          <w:szCs w:val="24"/>
        </w:rPr>
      </w:pPr>
      <w:r>
        <w:rPr>
          <w:b/>
          <w:sz w:val="24"/>
          <w:szCs w:val="24"/>
        </w:rPr>
        <w:t>THE ‘NEW’ SCHOOL DAY</w:t>
      </w:r>
    </w:p>
    <w:p w:rsidR="00C66559" w:rsidRDefault="008D2AC9" w:rsidP="008D2AC9">
      <w:pPr>
        <w:rPr>
          <w:sz w:val="24"/>
          <w:szCs w:val="24"/>
        </w:rPr>
      </w:pPr>
      <w:r>
        <w:rPr>
          <w:sz w:val="24"/>
          <w:szCs w:val="24"/>
        </w:rPr>
        <w:t>The school day will commence at 9am (</w:t>
      </w:r>
      <w:r w:rsidR="00C66559">
        <w:rPr>
          <w:sz w:val="24"/>
          <w:szCs w:val="24"/>
        </w:rPr>
        <w:t xml:space="preserve">arrivals </w:t>
      </w:r>
      <w:r>
        <w:rPr>
          <w:sz w:val="24"/>
          <w:szCs w:val="24"/>
        </w:rPr>
        <w:t xml:space="preserve">staggered until 9.15am) and teaching will finish at 11am for the first 2 weeks. </w:t>
      </w:r>
    </w:p>
    <w:p w:rsidR="00C66559" w:rsidRDefault="00C66559" w:rsidP="008D2AC9">
      <w:pPr>
        <w:rPr>
          <w:sz w:val="24"/>
          <w:szCs w:val="24"/>
        </w:rPr>
      </w:pPr>
    </w:p>
    <w:p w:rsidR="00C66559" w:rsidRPr="003E1D08" w:rsidRDefault="00A91EA4" w:rsidP="00C66559">
      <w:pPr>
        <w:rPr>
          <w:sz w:val="24"/>
          <w:szCs w:val="24"/>
        </w:rPr>
      </w:pPr>
      <w:r w:rsidRPr="003E1D08">
        <w:rPr>
          <w:sz w:val="24"/>
          <w:szCs w:val="24"/>
        </w:rPr>
        <w:t>During weeks 3 and 4</w:t>
      </w:r>
      <w:r w:rsidR="00C66559" w:rsidRPr="003E1D08">
        <w:rPr>
          <w:sz w:val="24"/>
          <w:szCs w:val="24"/>
        </w:rPr>
        <w:t xml:space="preserve"> the children will attend up until 12</w:t>
      </w:r>
      <w:r w:rsidR="003E1D08" w:rsidRPr="003E1D08">
        <w:rPr>
          <w:sz w:val="24"/>
          <w:szCs w:val="24"/>
        </w:rPr>
        <w:t>noon</w:t>
      </w:r>
      <w:r w:rsidRPr="003E1D08">
        <w:rPr>
          <w:sz w:val="24"/>
          <w:szCs w:val="24"/>
        </w:rPr>
        <w:t xml:space="preserve"> </w:t>
      </w:r>
      <w:r w:rsidR="002316B8">
        <w:rPr>
          <w:sz w:val="24"/>
          <w:szCs w:val="24"/>
        </w:rPr>
        <w:t>(staggered until 12.15pm)</w:t>
      </w:r>
      <w:r w:rsidRPr="003E1D08">
        <w:rPr>
          <w:sz w:val="24"/>
          <w:szCs w:val="24"/>
        </w:rPr>
        <w:t xml:space="preserve"> - no lunch will be available.</w:t>
      </w:r>
    </w:p>
    <w:p w:rsidR="00A91EA4" w:rsidRPr="003E1D08" w:rsidRDefault="00A91EA4" w:rsidP="00C66559">
      <w:pPr>
        <w:rPr>
          <w:sz w:val="24"/>
          <w:szCs w:val="24"/>
        </w:rPr>
      </w:pPr>
    </w:p>
    <w:p w:rsidR="00A91EA4" w:rsidRDefault="00A91EA4" w:rsidP="00A91EA4">
      <w:pPr>
        <w:rPr>
          <w:sz w:val="24"/>
          <w:szCs w:val="24"/>
        </w:rPr>
      </w:pPr>
      <w:r w:rsidRPr="003E1D08">
        <w:rPr>
          <w:sz w:val="24"/>
          <w:szCs w:val="24"/>
        </w:rPr>
        <w:t xml:space="preserve">Beginning Week 5, Children </w:t>
      </w:r>
      <w:r w:rsidR="003E1D08">
        <w:rPr>
          <w:sz w:val="24"/>
          <w:szCs w:val="24"/>
        </w:rPr>
        <w:t>can</w:t>
      </w:r>
      <w:r w:rsidRPr="003E1D08">
        <w:rPr>
          <w:sz w:val="24"/>
          <w:szCs w:val="24"/>
        </w:rPr>
        <w:t xml:space="preserve"> attend until </w:t>
      </w:r>
      <w:r w:rsidR="003E1D08" w:rsidRPr="003E1D08">
        <w:rPr>
          <w:sz w:val="24"/>
          <w:szCs w:val="24"/>
        </w:rPr>
        <w:t>1.0</w:t>
      </w:r>
      <w:r w:rsidR="003E1D08">
        <w:rPr>
          <w:sz w:val="24"/>
          <w:szCs w:val="24"/>
        </w:rPr>
        <w:t>0pm</w:t>
      </w:r>
      <w:r w:rsidR="002316B8">
        <w:rPr>
          <w:sz w:val="24"/>
          <w:szCs w:val="24"/>
        </w:rPr>
        <w:t xml:space="preserve"> (staggered from 12.50 until 1.10pm) </w:t>
      </w:r>
      <w:r w:rsidR="003E1D08">
        <w:rPr>
          <w:sz w:val="24"/>
          <w:szCs w:val="24"/>
        </w:rPr>
        <w:t xml:space="preserve">– the last half hour will be for lunch. </w:t>
      </w:r>
      <w:r w:rsidRPr="003E1D08">
        <w:rPr>
          <w:sz w:val="24"/>
          <w:szCs w:val="24"/>
        </w:rPr>
        <w:t xml:space="preserve">Children entitled to Free School Meals will be able to access a packed lunch from the school kitchen at 12.30pm. Others wishing to purchase a packed lunch from the School Meals Kitchen should be able to do so also. </w:t>
      </w:r>
      <w:r w:rsidRPr="0083088B">
        <w:rPr>
          <w:sz w:val="24"/>
          <w:szCs w:val="24"/>
        </w:rPr>
        <w:t>Parents may send in a packed lunch for their children if they wish.</w:t>
      </w:r>
      <w:r w:rsidRPr="0083088B">
        <w:rPr>
          <w:i/>
          <w:sz w:val="24"/>
          <w:szCs w:val="24"/>
        </w:rPr>
        <w:t xml:space="preserve"> </w:t>
      </w:r>
    </w:p>
    <w:p w:rsidR="0083088B" w:rsidRPr="0083088B" w:rsidRDefault="0083088B" w:rsidP="00A91EA4">
      <w:pPr>
        <w:rPr>
          <w:color w:val="FF0000"/>
          <w:sz w:val="24"/>
          <w:szCs w:val="24"/>
        </w:rPr>
      </w:pPr>
    </w:p>
    <w:p w:rsidR="00A91EA4" w:rsidRPr="0083088B" w:rsidRDefault="00A91EA4" w:rsidP="00A91EA4">
      <w:pPr>
        <w:rPr>
          <w:i/>
          <w:sz w:val="24"/>
          <w:szCs w:val="24"/>
        </w:rPr>
      </w:pPr>
      <w:r w:rsidRPr="0083088B">
        <w:rPr>
          <w:i/>
          <w:sz w:val="24"/>
          <w:szCs w:val="24"/>
        </w:rPr>
        <w:t>Note; Any parent not wishing to avail of a school packed lunch for their child, or of providing one themselves, may collect their child at 12.</w:t>
      </w:r>
      <w:r w:rsidR="003E1D08" w:rsidRPr="0083088B">
        <w:rPr>
          <w:i/>
          <w:sz w:val="24"/>
          <w:szCs w:val="24"/>
        </w:rPr>
        <w:t>30</w:t>
      </w:r>
      <w:r w:rsidRPr="0083088B">
        <w:rPr>
          <w:i/>
          <w:sz w:val="24"/>
          <w:szCs w:val="24"/>
        </w:rPr>
        <w:t xml:space="preserve"> -  this will assist with staggered leaving times and children will not miss any teaching time.</w:t>
      </w:r>
    </w:p>
    <w:p w:rsidR="00A91EA4" w:rsidRPr="002316B8" w:rsidRDefault="00A91EA4" w:rsidP="00A91EA4">
      <w:pPr>
        <w:rPr>
          <w:sz w:val="24"/>
          <w:szCs w:val="24"/>
        </w:rPr>
      </w:pPr>
    </w:p>
    <w:p w:rsidR="008D2AC9" w:rsidRDefault="008D2AC9" w:rsidP="008D2AC9">
      <w:pPr>
        <w:rPr>
          <w:b/>
          <w:sz w:val="24"/>
          <w:szCs w:val="24"/>
        </w:rPr>
      </w:pPr>
    </w:p>
    <w:p w:rsidR="008D2AC9" w:rsidRDefault="008D2AC9" w:rsidP="008D2AC9">
      <w:pPr>
        <w:rPr>
          <w:b/>
          <w:sz w:val="24"/>
          <w:szCs w:val="24"/>
        </w:rPr>
      </w:pPr>
      <w:r>
        <w:rPr>
          <w:b/>
          <w:sz w:val="24"/>
          <w:szCs w:val="24"/>
        </w:rPr>
        <w:t>BEGINING AND END OF SCHOOL DAY</w:t>
      </w:r>
    </w:p>
    <w:p w:rsidR="008D2AC9" w:rsidRDefault="008D2AC9" w:rsidP="008D2AC9">
      <w:pPr>
        <w:rPr>
          <w:sz w:val="24"/>
          <w:szCs w:val="24"/>
        </w:rPr>
      </w:pPr>
      <w:r>
        <w:rPr>
          <w:sz w:val="24"/>
          <w:szCs w:val="24"/>
        </w:rPr>
        <w:t xml:space="preserve">In line with Government guidance, parents are NOT allowed to enter the school buildings at any time, except by appointment. No exceptions. </w:t>
      </w:r>
    </w:p>
    <w:p w:rsidR="008D2AC9" w:rsidRDefault="008D2AC9" w:rsidP="008D2AC9">
      <w:pPr>
        <w:rPr>
          <w:sz w:val="24"/>
          <w:szCs w:val="24"/>
        </w:rPr>
      </w:pPr>
    </w:p>
    <w:p w:rsidR="00A91EA4" w:rsidRDefault="00A91EA4" w:rsidP="008D2AC9">
      <w:pPr>
        <w:rPr>
          <w:sz w:val="24"/>
          <w:szCs w:val="24"/>
        </w:rPr>
      </w:pPr>
      <w:r>
        <w:rPr>
          <w:sz w:val="24"/>
          <w:szCs w:val="24"/>
        </w:rPr>
        <w:t xml:space="preserve">Parents should accompany their children to the front door of the NURSERY – observing Social distancing measures (2m markings are on the ground on the footpath and to the right of the front door).  </w:t>
      </w:r>
    </w:p>
    <w:p w:rsidR="008D2AC9" w:rsidRDefault="008D2AC9" w:rsidP="008D2AC9">
      <w:pPr>
        <w:rPr>
          <w:sz w:val="24"/>
          <w:szCs w:val="24"/>
        </w:rPr>
      </w:pPr>
      <w:r>
        <w:rPr>
          <w:sz w:val="24"/>
          <w:szCs w:val="24"/>
        </w:rPr>
        <w:t xml:space="preserve">At the ‘home time’ parents should wait </w:t>
      </w:r>
      <w:r w:rsidR="003E1D08">
        <w:rPr>
          <w:sz w:val="24"/>
          <w:szCs w:val="24"/>
        </w:rPr>
        <w:t xml:space="preserve">outside the Nursery and wait to be called forward to collect their child. </w:t>
      </w:r>
      <w:r>
        <w:rPr>
          <w:sz w:val="24"/>
          <w:szCs w:val="24"/>
        </w:rPr>
        <w:t>At all times, parents should maintain and be responsible for social distancing.</w:t>
      </w:r>
      <w:r w:rsidR="003E1D08">
        <w:rPr>
          <w:sz w:val="24"/>
          <w:szCs w:val="24"/>
        </w:rPr>
        <w:t xml:space="preserve"> </w:t>
      </w:r>
      <w:r>
        <w:rPr>
          <w:sz w:val="24"/>
          <w:szCs w:val="24"/>
        </w:rPr>
        <w:t>It is impossible to pre-plan staggered arrival and departures at this stage, as many families will be arriving with children from different classes, therefore it is important for parents to take responsibility for social distancing at these times.</w:t>
      </w:r>
    </w:p>
    <w:p w:rsidR="003E1D08" w:rsidRDefault="003E1D08" w:rsidP="008D2AC9">
      <w:pPr>
        <w:rPr>
          <w:sz w:val="24"/>
          <w:szCs w:val="24"/>
        </w:rPr>
      </w:pPr>
    </w:p>
    <w:p w:rsidR="008D2AC9" w:rsidRDefault="003E1D08" w:rsidP="008D2AC9">
      <w:pPr>
        <w:rPr>
          <w:sz w:val="24"/>
          <w:szCs w:val="24"/>
        </w:rPr>
      </w:pPr>
      <w:r>
        <w:rPr>
          <w:sz w:val="24"/>
          <w:szCs w:val="24"/>
        </w:rPr>
        <w:t xml:space="preserve">Remember - </w:t>
      </w:r>
      <w:r w:rsidR="008D2AC9">
        <w:rPr>
          <w:sz w:val="24"/>
          <w:szCs w:val="24"/>
        </w:rPr>
        <w:t>those pupils who do not wish to avail of school lunchtime</w:t>
      </w:r>
      <w:r>
        <w:rPr>
          <w:sz w:val="24"/>
          <w:szCs w:val="24"/>
        </w:rPr>
        <w:t xml:space="preserve"> from week 5 onwards may leave at 12.30</w:t>
      </w:r>
      <w:r w:rsidR="008D2AC9">
        <w:rPr>
          <w:sz w:val="24"/>
          <w:szCs w:val="24"/>
        </w:rPr>
        <w:t>pm).  All children M</w:t>
      </w:r>
      <w:r>
        <w:rPr>
          <w:sz w:val="24"/>
          <w:szCs w:val="24"/>
        </w:rPr>
        <w:t>UST be off the premises by 1</w:t>
      </w:r>
      <w:r w:rsidR="002316B8">
        <w:rPr>
          <w:sz w:val="24"/>
          <w:szCs w:val="24"/>
        </w:rPr>
        <w:t>.10</w:t>
      </w:r>
      <w:r>
        <w:rPr>
          <w:sz w:val="24"/>
          <w:szCs w:val="24"/>
        </w:rPr>
        <w:t>pm</w:t>
      </w:r>
      <w:r w:rsidR="008D2AC9">
        <w:rPr>
          <w:sz w:val="24"/>
          <w:szCs w:val="24"/>
        </w:rPr>
        <w:t xml:space="preserve"> at the </w:t>
      </w:r>
      <w:r w:rsidR="008D2AC9">
        <w:rPr>
          <w:sz w:val="24"/>
          <w:szCs w:val="24"/>
          <w:u w:val="single"/>
        </w:rPr>
        <w:t>very</w:t>
      </w:r>
      <w:r w:rsidR="008D2AC9">
        <w:rPr>
          <w:sz w:val="24"/>
          <w:szCs w:val="24"/>
        </w:rPr>
        <w:t xml:space="preserve"> LATEST. </w:t>
      </w:r>
    </w:p>
    <w:p w:rsidR="008D2AC9" w:rsidRDefault="008D2AC9" w:rsidP="008D2AC9">
      <w:pPr>
        <w:rPr>
          <w:i/>
          <w:sz w:val="24"/>
          <w:szCs w:val="24"/>
        </w:rPr>
      </w:pPr>
      <w:r>
        <w:rPr>
          <w:i/>
          <w:sz w:val="24"/>
          <w:szCs w:val="24"/>
        </w:rPr>
        <w:t>Please do not leave it until after this time to arrive as it is breaking this guidance a</w:t>
      </w:r>
      <w:r w:rsidR="003E1D08">
        <w:rPr>
          <w:i/>
          <w:sz w:val="24"/>
          <w:szCs w:val="24"/>
        </w:rPr>
        <w:t>nd is discourteous to the staff.</w:t>
      </w:r>
    </w:p>
    <w:p w:rsidR="008D2AC9" w:rsidRDefault="008D2AC9" w:rsidP="008D2AC9">
      <w:pPr>
        <w:rPr>
          <w:sz w:val="24"/>
          <w:szCs w:val="24"/>
        </w:rPr>
      </w:pPr>
    </w:p>
    <w:p w:rsidR="008D2AC9" w:rsidRDefault="008D2AC9" w:rsidP="008D2AC9">
      <w:pPr>
        <w:rPr>
          <w:sz w:val="24"/>
          <w:szCs w:val="24"/>
        </w:rPr>
      </w:pPr>
    </w:p>
    <w:p w:rsidR="008D2AC9" w:rsidRDefault="008D2AC9" w:rsidP="008D2AC9">
      <w:pPr>
        <w:rPr>
          <w:sz w:val="24"/>
          <w:szCs w:val="24"/>
        </w:rPr>
      </w:pPr>
      <w:r>
        <w:rPr>
          <w:sz w:val="24"/>
          <w:szCs w:val="24"/>
        </w:rPr>
        <w:t xml:space="preserve">We hope this plan will provide more clarity to you and allay any you may have had. It will be a basis on which to plan the coming months. More details will be issued when they are known. Please continue to monitor the school website – </w:t>
      </w:r>
      <w:hyperlink r:id="rId4" w:history="1">
        <w:r>
          <w:rPr>
            <w:rStyle w:val="Hyperlink"/>
            <w:sz w:val="24"/>
            <w:szCs w:val="24"/>
          </w:rPr>
          <w:t>www.orritorps.co.uk</w:t>
        </w:r>
      </w:hyperlink>
      <w:r>
        <w:rPr>
          <w:sz w:val="24"/>
          <w:szCs w:val="24"/>
        </w:rPr>
        <w:t xml:space="preserve"> –for all updates. We may also send information to you via the Home Learning platform.</w:t>
      </w:r>
    </w:p>
    <w:p w:rsidR="008D2AC9" w:rsidRDefault="008D2AC9" w:rsidP="008D2AC9">
      <w:pPr>
        <w:rPr>
          <w:sz w:val="24"/>
          <w:szCs w:val="24"/>
        </w:rPr>
      </w:pPr>
    </w:p>
    <w:p w:rsidR="008D2AC9" w:rsidRDefault="008D2AC9" w:rsidP="008D2AC9">
      <w:pPr>
        <w:rPr>
          <w:sz w:val="24"/>
          <w:szCs w:val="24"/>
        </w:rPr>
      </w:pPr>
      <w:r>
        <w:rPr>
          <w:sz w:val="24"/>
          <w:szCs w:val="24"/>
        </w:rPr>
        <w:t>We also recognise that things are constantly changing and that this plan may be defunct by the time September comes around – hopefully we will be back to the ‘normal’ attendance patterns and life can resume once again – but if that is the case you will be informed. In the meantime please enjoy the summer holidays and we’ll see everyone very soon.</w:t>
      </w:r>
    </w:p>
    <w:p w:rsidR="008D2AC9" w:rsidRDefault="008D2AC9" w:rsidP="008D2AC9">
      <w:pPr>
        <w:rPr>
          <w:sz w:val="24"/>
          <w:szCs w:val="24"/>
        </w:rPr>
      </w:pPr>
    </w:p>
    <w:p w:rsidR="008D2AC9" w:rsidRDefault="008D2AC9" w:rsidP="008D2AC9">
      <w:pPr>
        <w:rPr>
          <w:sz w:val="24"/>
          <w:szCs w:val="24"/>
        </w:rPr>
      </w:pPr>
      <w:r>
        <w:rPr>
          <w:sz w:val="24"/>
          <w:szCs w:val="24"/>
        </w:rPr>
        <w:t>K Wright</w:t>
      </w:r>
    </w:p>
    <w:p w:rsidR="008D2AC9" w:rsidRDefault="008D2AC9" w:rsidP="008D2AC9">
      <w:pPr>
        <w:rPr>
          <w:sz w:val="24"/>
          <w:szCs w:val="24"/>
        </w:rPr>
      </w:pPr>
      <w:r>
        <w:rPr>
          <w:sz w:val="24"/>
          <w:szCs w:val="24"/>
        </w:rPr>
        <w:t>Principal</w:t>
      </w:r>
    </w:p>
    <w:p w:rsidR="008D2AC9" w:rsidRDefault="008D2AC9" w:rsidP="008D2AC9">
      <w:pPr>
        <w:rPr>
          <w:b/>
          <w:sz w:val="24"/>
          <w:szCs w:val="24"/>
          <w:u w:val="single"/>
        </w:rPr>
      </w:pPr>
    </w:p>
    <w:p w:rsidR="008D2AC9" w:rsidRDefault="008D2AC9" w:rsidP="008D2AC9">
      <w:pPr>
        <w:rPr>
          <w:b/>
          <w:sz w:val="24"/>
          <w:szCs w:val="24"/>
          <w:u w:val="single"/>
        </w:rPr>
      </w:pPr>
    </w:p>
    <w:p w:rsidR="008D2AC9" w:rsidRDefault="008D2AC9" w:rsidP="008D2AC9">
      <w:pPr>
        <w:rPr>
          <w:b/>
          <w:sz w:val="24"/>
          <w:szCs w:val="24"/>
          <w:u w:val="single"/>
        </w:rPr>
      </w:pPr>
    </w:p>
    <w:tbl>
      <w:tblPr>
        <w:tblStyle w:val="TableGrid"/>
        <w:tblW w:w="9498" w:type="dxa"/>
        <w:tblInd w:w="-289" w:type="dxa"/>
        <w:tblLook w:val="04A0" w:firstRow="1" w:lastRow="0" w:firstColumn="1" w:lastColumn="0" w:noHBand="0" w:noVBand="1"/>
      </w:tblPr>
      <w:tblGrid>
        <w:gridCol w:w="1057"/>
        <w:gridCol w:w="1065"/>
        <w:gridCol w:w="1275"/>
        <w:gridCol w:w="1257"/>
        <w:gridCol w:w="1205"/>
        <w:gridCol w:w="1229"/>
        <w:gridCol w:w="1134"/>
        <w:gridCol w:w="1276"/>
      </w:tblGrid>
      <w:tr w:rsidR="002316B8" w:rsidRPr="003E1D08" w:rsidTr="002316B8">
        <w:tc>
          <w:tcPr>
            <w:tcW w:w="1057" w:type="dxa"/>
          </w:tcPr>
          <w:p w:rsidR="003E1D08" w:rsidRPr="003E1D08" w:rsidRDefault="003E1D08" w:rsidP="003E1D08">
            <w:pPr>
              <w:rPr>
                <w:sz w:val="24"/>
                <w:szCs w:val="24"/>
              </w:rPr>
            </w:pPr>
            <w:r w:rsidRPr="003E1D08">
              <w:rPr>
                <w:sz w:val="24"/>
                <w:szCs w:val="24"/>
              </w:rPr>
              <w:t>Class</w:t>
            </w:r>
          </w:p>
        </w:tc>
        <w:tc>
          <w:tcPr>
            <w:tcW w:w="1065" w:type="dxa"/>
          </w:tcPr>
          <w:p w:rsidR="003E1D08" w:rsidRPr="003E1D08" w:rsidRDefault="003E1D08" w:rsidP="003E1D08">
            <w:pPr>
              <w:rPr>
                <w:sz w:val="24"/>
                <w:szCs w:val="24"/>
              </w:rPr>
            </w:pPr>
            <w:r w:rsidRPr="003E1D08">
              <w:rPr>
                <w:sz w:val="24"/>
                <w:szCs w:val="24"/>
              </w:rPr>
              <w:t>Venue</w:t>
            </w:r>
          </w:p>
        </w:tc>
        <w:tc>
          <w:tcPr>
            <w:tcW w:w="1275" w:type="dxa"/>
          </w:tcPr>
          <w:p w:rsidR="003E1D08" w:rsidRPr="003E1D08" w:rsidRDefault="003E1D08" w:rsidP="003E1D08">
            <w:pPr>
              <w:rPr>
                <w:sz w:val="24"/>
                <w:szCs w:val="24"/>
              </w:rPr>
            </w:pPr>
            <w:r w:rsidRPr="003E1D08">
              <w:rPr>
                <w:sz w:val="24"/>
                <w:szCs w:val="24"/>
              </w:rPr>
              <w:t>Monday</w:t>
            </w:r>
          </w:p>
        </w:tc>
        <w:tc>
          <w:tcPr>
            <w:tcW w:w="1257" w:type="dxa"/>
          </w:tcPr>
          <w:p w:rsidR="003E1D08" w:rsidRPr="003E1D08" w:rsidRDefault="003E1D08" w:rsidP="003E1D08">
            <w:pPr>
              <w:rPr>
                <w:sz w:val="24"/>
                <w:szCs w:val="24"/>
              </w:rPr>
            </w:pPr>
            <w:r w:rsidRPr="003E1D08">
              <w:rPr>
                <w:sz w:val="24"/>
                <w:szCs w:val="24"/>
              </w:rPr>
              <w:t>Tues</w:t>
            </w:r>
          </w:p>
        </w:tc>
        <w:tc>
          <w:tcPr>
            <w:tcW w:w="1205" w:type="dxa"/>
          </w:tcPr>
          <w:p w:rsidR="003E1D08" w:rsidRPr="003E1D08" w:rsidRDefault="003E1D08" w:rsidP="003E1D08">
            <w:pPr>
              <w:rPr>
                <w:sz w:val="24"/>
                <w:szCs w:val="24"/>
              </w:rPr>
            </w:pPr>
            <w:r w:rsidRPr="003E1D08">
              <w:rPr>
                <w:sz w:val="24"/>
                <w:szCs w:val="24"/>
              </w:rPr>
              <w:t>Wed</w:t>
            </w:r>
          </w:p>
        </w:tc>
        <w:tc>
          <w:tcPr>
            <w:tcW w:w="1229" w:type="dxa"/>
          </w:tcPr>
          <w:p w:rsidR="003E1D08" w:rsidRPr="003E1D08" w:rsidRDefault="003E1D08" w:rsidP="003E1D08">
            <w:pPr>
              <w:rPr>
                <w:sz w:val="24"/>
                <w:szCs w:val="24"/>
              </w:rPr>
            </w:pPr>
            <w:r w:rsidRPr="003E1D08">
              <w:rPr>
                <w:sz w:val="24"/>
                <w:szCs w:val="24"/>
              </w:rPr>
              <w:t>Thurs</w:t>
            </w:r>
          </w:p>
        </w:tc>
        <w:tc>
          <w:tcPr>
            <w:tcW w:w="1134" w:type="dxa"/>
          </w:tcPr>
          <w:p w:rsidR="003E1D08" w:rsidRPr="003E1D08" w:rsidRDefault="003E1D08" w:rsidP="003E1D08">
            <w:pPr>
              <w:rPr>
                <w:sz w:val="24"/>
                <w:szCs w:val="24"/>
              </w:rPr>
            </w:pPr>
            <w:r w:rsidRPr="003E1D08">
              <w:rPr>
                <w:sz w:val="24"/>
                <w:szCs w:val="24"/>
              </w:rPr>
              <w:t>Fri</w:t>
            </w:r>
          </w:p>
        </w:tc>
        <w:tc>
          <w:tcPr>
            <w:tcW w:w="1276" w:type="dxa"/>
          </w:tcPr>
          <w:p w:rsidR="003E1D08" w:rsidRPr="003E1D08" w:rsidRDefault="003E1D08" w:rsidP="003E1D08">
            <w:pPr>
              <w:rPr>
                <w:sz w:val="24"/>
                <w:szCs w:val="24"/>
              </w:rPr>
            </w:pPr>
            <w:r w:rsidRPr="003E1D08">
              <w:rPr>
                <w:sz w:val="24"/>
                <w:szCs w:val="24"/>
              </w:rPr>
              <w:t>Week</w:t>
            </w:r>
          </w:p>
        </w:tc>
      </w:tr>
      <w:tr w:rsidR="002316B8" w:rsidRPr="003E1D08" w:rsidTr="002316B8">
        <w:tc>
          <w:tcPr>
            <w:tcW w:w="1057" w:type="dxa"/>
          </w:tcPr>
          <w:p w:rsidR="003E1D08" w:rsidRPr="003E1D08" w:rsidRDefault="003E1D08" w:rsidP="003E1D08">
            <w:pPr>
              <w:rPr>
                <w:sz w:val="24"/>
                <w:szCs w:val="24"/>
              </w:rPr>
            </w:pPr>
            <w:r>
              <w:rPr>
                <w:sz w:val="24"/>
                <w:szCs w:val="24"/>
              </w:rPr>
              <w:t>Nursery</w:t>
            </w:r>
          </w:p>
        </w:tc>
        <w:tc>
          <w:tcPr>
            <w:tcW w:w="1065" w:type="dxa"/>
          </w:tcPr>
          <w:p w:rsidR="003E1D08" w:rsidRPr="003E1D08" w:rsidRDefault="003E1D08" w:rsidP="003E1D08">
            <w:pPr>
              <w:rPr>
                <w:sz w:val="24"/>
                <w:szCs w:val="24"/>
              </w:rPr>
            </w:pPr>
            <w:r>
              <w:rPr>
                <w:sz w:val="24"/>
                <w:szCs w:val="24"/>
              </w:rPr>
              <w:t>Nursery unit</w:t>
            </w:r>
          </w:p>
        </w:tc>
        <w:tc>
          <w:tcPr>
            <w:tcW w:w="1275" w:type="dxa"/>
            <w:shd w:val="clear" w:color="auto" w:fill="D9D9D9" w:themeFill="background1" w:themeFillShade="D9"/>
          </w:tcPr>
          <w:p w:rsidR="003E1D08" w:rsidRPr="003E1D08" w:rsidRDefault="003E1D08" w:rsidP="003E1D08">
            <w:pPr>
              <w:rPr>
                <w:sz w:val="24"/>
                <w:szCs w:val="24"/>
              </w:rPr>
            </w:pPr>
            <w:r w:rsidRPr="003E1D08">
              <w:rPr>
                <w:sz w:val="24"/>
                <w:szCs w:val="24"/>
              </w:rPr>
              <w:t>Bank Hols</w:t>
            </w:r>
          </w:p>
        </w:tc>
        <w:tc>
          <w:tcPr>
            <w:tcW w:w="1257" w:type="dxa"/>
          </w:tcPr>
          <w:p w:rsidR="007A7CC9" w:rsidRPr="003E1D08" w:rsidRDefault="007A7CC9" w:rsidP="003E1D08">
            <w:pPr>
              <w:rPr>
                <w:sz w:val="24"/>
                <w:szCs w:val="24"/>
              </w:rPr>
            </w:pPr>
            <w:r>
              <w:rPr>
                <w:sz w:val="24"/>
                <w:szCs w:val="24"/>
              </w:rPr>
              <w:t>Group A</w:t>
            </w:r>
          </w:p>
        </w:tc>
        <w:tc>
          <w:tcPr>
            <w:tcW w:w="1205" w:type="dxa"/>
          </w:tcPr>
          <w:p w:rsidR="003E1D08" w:rsidRPr="003E1D08" w:rsidRDefault="003E1D08" w:rsidP="003E1D08">
            <w:pPr>
              <w:rPr>
                <w:sz w:val="24"/>
                <w:szCs w:val="24"/>
              </w:rPr>
            </w:pPr>
            <w:r w:rsidRPr="003E1D08">
              <w:rPr>
                <w:sz w:val="24"/>
                <w:szCs w:val="24"/>
              </w:rPr>
              <w:t>Group A</w:t>
            </w:r>
          </w:p>
        </w:tc>
        <w:tc>
          <w:tcPr>
            <w:tcW w:w="1229" w:type="dxa"/>
          </w:tcPr>
          <w:p w:rsidR="003E1D08" w:rsidRPr="003E1D08" w:rsidRDefault="003E1D08" w:rsidP="003E1D08">
            <w:pPr>
              <w:rPr>
                <w:sz w:val="24"/>
                <w:szCs w:val="24"/>
              </w:rPr>
            </w:pPr>
            <w:r w:rsidRPr="003E1D08">
              <w:rPr>
                <w:sz w:val="24"/>
                <w:szCs w:val="24"/>
              </w:rPr>
              <w:t>Group B</w:t>
            </w:r>
          </w:p>
        </w:tc>
        <w:tc>
          <w:tcPr>
            <w:tcW w:w="1134" w:type="dxa"/>
          </w:tcPr>
          <w:p w:rsidR="003E1D08" w:rsidRPr="003E1D08" w:rsidRDefault="007A7CC9" w:rsidP="003E1D08">
            <w:pPr>
              <w:rPr>
                <w:sz w:val="24"/>
                <w:szCs w:val="24"/>
              </w:rPr>
            </w:pPr>
            <w:r>
              <w:rPr>
                <w:sz w:val="24"/>
                <w:szCs w:val="24"/>
              </w:rPr>
              <w:t>Group B</w:t>
            </w:r>
          </w:p>
        </w:tc>
        <w:tc>
          <w:tcPr>
            <w:tcW w:w="1276" w:type="dxa"/>
          </w:tcPr>
          <w:p w:rsidR="003E1D08" w:rsidRPr="003E1D08" w:rsidRDefault="003E1D08" w:rsidP="003E1D08">
            <w:pPr>
              <w:jc w:val="center"/>
              <w:rPr>
                <w:sz w:val="24"/>
                <w:szCs w:val="24"/>
              </w:rPr>
            </w:pPr>
            <w:r w:rsidRPr="003E1D08">
              <w:rPr>
                <w:sz w:val="24"/>
                <w:szCs w:val="24"/>
              </w:rPr>
              <w:t>1</w:t>
            </w:r>
          </w:p>
        </w:tc>
      </w:tr>
      <w:tr w:rsidR="002316B8" w:rsidRPr="003E1D08" w:rsidTr="002316B8">
        <w:tc>
          <w:tcPr>
            <w:tcW w:w="1057" w:type="dxa"/>
          </w:tcPr>
          <w:p w:rsidR="003E1D08" w:rsidRPr="003E1D08" w:rsidRDefault="003E1D08" w:rsidP="003E1D08">
            <w:pPr>
              <w:rPr>
                <w:sz w:val="24"/>
                <w:szCs w:val="24"/>
              </w:rPr>
            </w:pPr>
          </w:p>
        </w:tc>
        <w:tc>
          <w:tcPr>
            <w:tcW w:w="1065" w:type="dxa"/>
          </w:tcPr>
          <w:p w:rsidR="003E1D08" w:rsidRPr="003E1D08" w:rsidRDefault="003E1D08" w:rsidP="003E1D08">
            <w:pPr>
              <w:rPr>
                <w:sz w:val="24"/>
                <w:szCs w:val="24"/>
              </w:rPr>
            </w:pPr>
          </w:p>
        </w:tc>
        <w:tc>
          <w:tcPr>
            <w:tcW w:w="1275" w:type="dxa"/>
          </w:tcPr>
          <w:p w:rsidR="003E1D08" w:rsidRPr="003E1D08" w:rsidRDefault="003E1D08" w:rsidP="003E1D08">
            <w:pPr>
              <w:rPr>
                <w:sz w:val="24"/>
                <w:szCs w:val="24"/>
              </w:rPr>
            </w:pPr>
            <w:r w:rsidRPr="003E1D08">
              <w:rPr>
                <w:sz w:val="24"/>
                <w:szCs w:val="24"/>
              </w:rPr>
              <w:t>Group A</w:t>
            </w:r>
          </w:p>
        </w:tc>
        <w:tc>
          <w:tcPr>
            <w:tcW w:w="1257" w:type="dxa"/>
          </w:tcPr>
          <w:p w:rsidR="003E1D08" w:rsidRPr="003E1D08" w:rsidRDefault="003E1D08" w:rsidP="007A7CC9">
            <w:pPr>
              <w:rPr>
                <w:sz w:val="24"/>
                <w:szCs w:val="24"/>
              </w:rPr>
            </w:pPr>
            <w:r w:rsidRPr="003E1D08">
              <w:rPr>
                <w:sz w:val="24"/>
                <w:szCs w:val="24"/>
              </w:rPr>
              <w:t xml:space="preserve">Group </w:t>
            </w:r>
            <w:r w:rsidR="007A7CC9">
              <w:rPr>
                <w:sz w:val="24"/>
                <w:szCs w:val="24"/>
              </w:rPr>
              <w:t>A</w:t>
            </w:r>
          </w:p>
        </w:tc>
        <w:tc>
          <w:tcPr>
            <w:tcW w:w="1205" w:type="dxa"/>
          </w:tcPr>
          <w:p w:rsidR="003E1D08" w:rsidRPr="003E1D08" w:rsidRDefault="003E1D08" w:rsidP="003E1D08">
            <w:pPr>
              <w:rPr>
                <w:sz w:val="24"/>
                <w:szCs w:val="24"/>
              </w:rPr>
            </w:pPr>
            <w:r w:rsidRPr="003E1D08">
              <w:rPr>
                <w:sz w:val="24"/>
                <w:szCs w:val="24"/>
              </w:rPr>
              <w:t>Group A</w:t>
            </w:r>
          </w:p>
        </w:tc>
        <w:tc>
          <w:tcPr>
            <w:tcW w:w="1229" w:type="dxa"/>
          </w:tcPr>
          <w:p w:rsidR="003E1D08" w:rsidRPr="003E1D08" w:rsidRDefault="003E1D08" w:rsidP="003E1D08">
            <w:pPr>
              <w:rPr>
                <w:sz w:val="24"/>
                <w:szCs w:val="24"/>
              </w:rPr>
            </w:pPr>
            <w:r w:rsidRPr="003E1D08">
              <w:rPr>
                <w:sz w:val="24"/>
                <w:szCs w:val="24"/>
              </w:rPr>
              <w:t>Group B</w:t>
            </w:r>
          </w:p>
        </w:tc>
        <w:tc>
          <w:tcPr>
            <w:tcW w:w="1134" w:type="dxa"/>
          </w:tcPr>
          <w:p w:rsidR="003E1D08" w:rsidRPr="003E1D08" w:rsidRDefault="003E1D08" w:rsidP="003E1D08">
            <w:pPr>
              <w:rPr>
                <w:sz w:val="24"/>
                <w:szCs w:val="24"/>
              </w:rPr>
            </w:pPr>
            <w:r w:rsidRPr="003E1D08">
              <w:rPr>
                <w:sz w:val="24"/>
                <w:szCs w:val="24"/>
              </w:rPr>
              <w:t>Group B</w:t>
            </w:r>
          </w:p>
        </w:tc>
        <w:tc>
          <w:tcPr>
            <w:tcW w:w="1276" w:type="dxa"/>
          </w:tcPr>
          <w:p w:rsidR="003E1D08" w:rsidRPr="003E1D08" w:rsidRDefault="003E1D08" w:rsidP="003E1D08">
            <w:pPr>
              <w:jc w:val="center"/>
              <w:rPr>
                <w:sz w:val="24"/>
                <w:szCs w:val="24"/>
              </w:rPr>
            </w:pPr>
            <w:r w:rsidRPr="003E1D08">
              <w:rPr>
                <w:sz w:val="24"/>
                <w:szCs w:val="24"/>
              </w:rPr>
              <w:t>2</w:t>
            </w:r>
          </w:p>
          <w:p w:rsidR="003E1D08" w:rsidRPr="003E1D08" w:rsidRDefault="003E1D08" w:rsidP="003E1D08">
            <w:pPr>
              <w:jc w:val="center"/>
              <w:rPr>
                <w:sz w:val="24"/>
                <w:szCs w:val="24"/>
              </w:rPr>
            </w:pPr>
          </w:p>
        </w:tc>
      </w:tr>
      <w:tr w:rsidR="002316B8" w:rsidRPr="003E1D08" w:rsidTr="002316B8">
        <w:tc>
          <w:tcPr>
            <w:tcW w:w="1057" w:type="dxa"/>
          </w:tcPr>
          <w:p w:rsidR="002316B8" w:rsidRPr="003E1D08" w:rsidRDefault="002316B8" w:rsidP="003E1D08">
            <w:pPr>
              <w:rPr>
                <w:sz w:val="24"/>
                <w:szCs w:val="24"/>
              </w:rPr>
            </w:pPr>
          </w:p>
        </w:tc>
        <w:tc>
          <w:tcPr>
            <w:tcW w:w="1065" w:type="dxa"/>
          </w:tcPr>
          <w:p w:rsidR="002316B8" w:rsidRPr="003E1D08" w:rsidRDefault="002316B8" w:rsidP="003E1D08">
            <w:pPr>
              <w:rPr>
                <w:sz w:val="24"/>
                <w:szCs w:val="24"/>
              </w:rPr>
            </w:pPr>
          </w:p>
        </w:tc>
        <w:tc>
          <w:tcPr>
            <w:tcW w:w="1275" w:type="dxa"/>
          </w:tcPr>
          <w:p w:rsidR="002316B8" w:rsidRDefault="002316B8" w:rsidP="003E1D08">
            <w:pPr>
              <w:rPr>
                <w:sz w:val="24"/>
                <w:szCs w:val="24"/>
              </w:rPr>
            </w:pPr>
            <w:r>
              <w:rPr>
                <w:sz w:val="24"/>
                <w:szCs w:val="24"/>
              </w:rPr>
              <w:t>Group A</w:t>
            </w:r>
          </w:p>
          <w:p w:rsidR="002316B8" w:rsidRPr="003E1D08" w:rsidRDefault="002316B8" w:rsidP="003E1D08">
            <w:pPr>
              <w:rPr>
                <w:sz w:val="24"/>
                <w:szCs w:val="24"/>
              </w:rPr>
            </w:pPr>
          </w:p>
        </w:tc>
        <w:tc>
          <w:tcPr>
            <w:tcW w:w="1257" w:type="dxa"/>
          </w:tcPr>
          <w:p w:rsidR="002316B8" w:rsidRPr="003E1D08" w:rsidRDefault="007A7CC9" w:rsidP="003E1D08">
            <w:pPr>
              <w:rPr>
                <w:sz w:val="24"/>
                <w:szCs w:val="24"/>
              </w:rPr>
            </w:pPr>
            <w:r>
              <w:rPr>
                <w:sz w:val="24"/>
                <w:szCs w:val="24"/>
              </w:rPr>
              <w:t>Group A</w:t>
            </w:r>
          </w:p>
        </w:tc>
        <w:tc>
          <w:tcPr>
            <w:tcW w:w="1205" w:type="dxa"/>
          </w:tcPr>
          <w:p w:rsidR="002316B8" w:rsidRPr="003E1D08" w:rsidRDefault="007A7CC9" w:rsidP="003E1D08">
            <w:pPr>
              <w:rPr>
                <w:sz w:val="24"/>
                <w:szCs w:val="24"/>
              </w:rPr>
            </w:pPr>
            <w:r>
              <w:rPr>
                <w:sz w:val="24"/>
                <w:szCs w:val="24"/>
              </w:rPr>
              <w:t>Group B</w:t>
            </w:r>
          </w:p>
        </w:tc>
        <w:tc>
          <w:tcPr>
            <w:tcW w:w="1229" w:type="dxa"/>
          </w:tcPr>
          <w:p w:rsidR="002316B8" w:rsidRPr="003E1D08" w:rsidRDefault="007A7CC9" w:rsidP="003E1D08">
            <w:pPr>
              <w:rPr>
                <w:sz w:val="24"/>
                <w:szCs w:val="24"/>
              </w:rPr>
            </w:pPr>
            <w:r>
              <w:rPr>
                <w:sz w:val="24"/>
                <w:szCs w:val="24"/>
              </w:rPr>
              <w:t>Group B</w:t>
            </w:r>
          </w:p>
        </w:tc>
        <w:tc>
          <w:tcPr>
            <w:tcW w:w="1134" w:type="dxa"/>
          </w:tcPr>
          <w:p w:rsidR="002316B8" w:rsidRPr="003E1D08" w:rsidRDefault="002316B8" w:rsidP="003E1D08">
            <w:pPr>
              <w:rPr>
                <w:sz w:val="24"/>
                <w:szCs w:val="24"/>
              </w:rPr>
            </w:pPr>
            <w:r>
              <w:rPr>
                <w:sz w:val="24"/>
                <w:szCs w:val="24"/>
              </w:rPr>
              <w:t>Group B</w:t>
            </w:r>
          </w:p>
        </w:tc>
        <w:tc>
          <w:tcPr>
            <w:tcW w:w="1276" w:type="dxa"/>
          </w:tcPr>
          <w:p w:rsidR="002316B8" w:rsidRPr="003E1D08" w:rsidRDefault="002316B8" w:rsidP="003E1D08">
            <w:pPr>
              <w:jc w:val="center"/>
              <w:rPr>
                <w:sz w:val="24"/>
                <w:szCs w:val="24"/>
              </w:rPr>
            </w:pPr>
            <w:r>
              <w:rPr>
                <w:sz w:val="24"/>
                <w:szCs w:val="24"/>
              </w:rPr>
              <w:t>3</w:t>
            </w:r>
          </w:p>
        </w:tc>
      </w:tr>
    </w:tbl>
    <w:p w:rsidR="008D2AC9" w:rsidRDefault="008D2AC9"/>
    <w:p w:rsidR="002316B8" w:rsidRDefault="002316B8"/>
    <w:p w:rsidR="002316B8" w:rsidRPr="002316B8" w:rsidRDefault="002316B8">
      <w:pPr>
        <w:rPr>
          <w:b/>
          <w:sz w:val="22"/>
          <w:szCs w:val="22"/>
          <w:u w:val="single"/>
        </w:rPr>
      </w:pPr>
      <w:r w:rsidRPr="002316B8">
        <w:rPr>
          <w:b/>
          <w:sz w:val="22"/>
          <w:szCs w:val="22"/>
          <w:u w:val="single"/>
        </w:rPr>
        <w:t>After week 3 the attendance pattern will follow a 2 week cycle starting with week 2</w:t>
      </w:r>
    </w:p>
    <w:sectPr w:rsidR="002316B8" w:rsidRPr="002316B8" w:rsidSect="002316B8">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AC9"/>
    <w:rsid w:val="000E6EF4"/>
    <w:rsid w:val="002316B8"/>
    <w:rsid w:val="003E1D08"/>
    <w:rsid w:val="007A7CC9"/>
    <w:rsid w:val="007C60FF"/>
    <w:rsid w:val="0083088B"/>
    <w:rsid w:val="008D2AC9"/>
    <w:rsid w:val="00A91EA4"/>
    <w:rsid w:val="00B66C89"/>
    <w:rsid w:val="00C66559"/>
    <w:rsid w:val="00D87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0394E"/>
  <w15:chartTrackingRefBased/>
  <w15:docId w15:val="{2A8D61EC-C1D1-4E1C-8C7E-3E68DC98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AC9"/>
    <w:pPr>
      <w:spacing w:after="0" w:line="240" w:lineRule="auto"/>
    </w:pPr>
    <w:rPr>
      <w:rFonts w:ascii="Arial" w:hAnsi="Arial"/>
      <w:sz w:val="20"/>
      <w:szCs w:val="20"/>
    </w:rPr>
  </w:style>
  <w:style w:type="paragraph" w:styleId="Heading1">
    <w:name w:val="heading 1"/>
    <w:basedOn w:val="Normal"/>
    <w:next w:val="Normal"/>
    <w:link w:val="Heading1Char"/>
    <w:qFormat/>
    <w:rsid w:val="000E6EF4"/>
    <w:pPr>
      <w:keepNext/>
      <w:jc w:val="center"/>
      <w:outlineLvl w:val="0"/>
    </w:pPr>
    <w:rPr>
      <w:rFonts w:eastAsia="Times New Roman" w:cs="Arial"/>
      <w:b/>
      <w:bCs/>
      <w:sz w:val="50"/>
      <w:szCs w:val="5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6EF4"/>
    <w:rPr>
      <w:rFonts w:ascii="Arial" w:eastAsia="Times New Roman" w:hAnsi="Arial" w:cs="Arial"/>
      <w:b/>
      <w:bCs/>
      <w:sz w:val="50"/>
      <w:szCs w:val="56"/>
      <w:lang w:eastAsia="en-GB"/>
    </w:rPr>
  </w:style>
  <w:style w:type="paragraph" w:styleId="ListParagraph">
    <w:name w:val="List Paragraph"/>
    <w:basedOn w:val="Normal"/>
    <w:uiPriority w:val="34"/>
    <w:qFormat/>
    <w:rsid w:val="000E6EF4"/>
    <w:pPr>
      <w:ind w:left="720"/>
      <w:contextualSpacing/>
    </w:pPr>
    <w:rPr>
      <w:rFonts w:eastAsia="Times New Roman" w:cs="Times New Roman"/>
    </w:rPr>
  </w:style>
  <w:style w:type="character" w:styleId="Hyperlink">
    <w:name w:val="Hyperlink"/>
    <w:basedOn w:val="DefaultParagraphFont"/>
    <w:uiPriority w:val="99"/>
    <w:semiHidden/>
    <w:unhideWhenUsed/>
    <w:rsid w:val="008D2AC9"/>
    <w:rPr>
      <w:color w:val="0000FF" w:themeColor="hyperlink"/>
      <w:u w:val="single"/>
    </w:rPr>
  </w:style>
  <w:style w:type="table" w:styleId="TableGrid">
    <w:name w:val="Table Grid"/>
    <w:basedOn w:val="TableNormal"/>
    <w:uiPriority w:val="39"/>
    <w:rsid w:val="003E1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49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rritorp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2599E32D</Template>
  <TotalTime>54</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WRIGHT</dc:creator>
  <cp:keywords/>
  <dc:description/>
  <cp:lastModifiedBy>K WRIGHT</cp:lastModifiedBy>
  <cp:revision>5</cp:revision>
  <dcterms:created xsi:type="dcterms:W3CDTF">2020-06-22T16:00:00Z</dcterms:created>
  <dcterms:modified xsi:type="dcterms:W3CDTF">2020-06-29T13:02:00Z</dcterms:modified>
</cp:coreProperties>
</file>